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71955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  <w:bookmarkStart w:id="0" w:name="_GoBack"/>
      <w:bookmarkEnd w:id="0"/>
    </w:p>
    <w:p w14:paraId="5ACE9E83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87"/>
        <w:gridCol w:w="406"/>
        <w:gridCol w:w="826"/>
        <w:gridCol w:w="733"/>
        <w:gridCol w:w="992"/>
        <w:gridCol w:w="1549"/>
      </w:tblGrid>
      <w:tr w14:paraId="23978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0D2CB05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168FBCC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3EA80C5A">
            <w:pPr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_GB2312"/>
                <w:color w:val="000000"/>
                <w:sz w:val="28"/>
              </w:rPr>
              <w:t>《领跑！向着伟大复兴》</w:t>
            </w:r>
          </w:p>
        </w:tc>
        <w:tc>
          <w:tcPr>
            <w:tcW w:w="826" w:type="dxa"/>
            <w:vAlign w:val="center"/>
          </w:tcPr>
          <w:p w14:paraId="106116DA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38666CBE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5F5BF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基础类</w:t>
            </w:r>
          </w:p>
        </w:tc>
      </w:tr>
      <w:tr w14:paraId="2A8E4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56C3581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4E7F4C3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57E79955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>3948字</w:t>
            </w:r>
          </w:p>
        </w:tc>
        <w:tc>
          <w:tcPr>
            <w:tcW w:w="826" w:type="dxa"/>
            <w:vAlign w:val="center"/>
          </w:tcPr>
          <w:p w14:paraId="1EB0B7F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66C6E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通讯</w:t>
            </w:r>
          </w:p>
        </w:tc>
      </w:tr>
      <w:tr w14:paraId="63D52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25956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7B4DA220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692BC62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D327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中文</w:t>
            </w:r>
          </w:p>
        </w:tc>
      </w:tr>
      <w:tr w14:paraId="4371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E77572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77DD6F9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5AFFF33D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林晓莺、郑晨、许媛媛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63C517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56428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井芳、陈宣妤</w:t>
            </w:r>
          </w:p>
        </w:tc>
      </w:tr>
      <w:tr w14:paraId="6E212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251C99F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23A54DA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2A0C99A7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《人民铁道》报业有限公司</w:t>
            </w:r>
          </w:p>
        </w:tc>
        <w:tc>
          <w:tcPr>
            <w:tcW w:w="1819" w:type="dxa"/>
            <w:gridSpan w:val="3"/>
            <w:vAlign w:val="center"/>
          </w:tcPr>
          <w:p w14:paraId="6302BBCA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0237E1DC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4F37D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gree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《人民铁道》报</w:t>
            </w:r>
          </w:p>
        </w:tc>
      </w:tr>
      <w:tr w14:paraId="19B2F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9EB94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492E117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1A6F2060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《人民铁道》报1版转2版</w:t>
            </w:r>
          </w:p>
        </w:tc>
        <w:tc>
          <w:tcPr>
            <w:tcW w:w="993" w:type="dxa"/>
            <w:gridSpan w:val="2"/>
            <w:vAlign w:val="center"/>
          </w:tcPr>
          <w:p w14:paraId="63E1A0E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0E41363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1DE1CEB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2024年9月29日</w:t>
            </w:r>
          </w:p>
        </w:tc>
      </w:tr>
      <w:tr w14:paraId="1DBEB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418" w:type="dxa"/>
            <w:gridSpan w:val="2"/>
            <w:vAlign w:val="center"/>
          </w:tcPr>
          <w:p w14:paraId="4B8AFFA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52E2F75F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7495C3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808355</wp:posOffset>
                  </wp:positionH>
                  <wp:positionV relativeFrom="paragraph">
                    <wp:posOffset>34290</wp:posOffset>
                  </wp:positionV>
                  <wp:extent cx="1245870" cy="1245870"/>
                  <wp:effectExtent l="0" t="0" r="11430" b="11430"/>
                  <wp:wrapSquare wrapText="bothSides"/>
                  <wp:docPr id="1" name="图片 1" descr="二维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二维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870" cy="124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5" w:type="dxa"/>
            <w:gridSpan w:val="2"/>
            <w:vAlign w:val="center"/>
          </w:tcPr>
          <w:p w14:paraId="1603CC1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1982C3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2133D3E9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/>
                <w:color w:val="000000"/>
                <w:sz w:val="28"/>
              </w:rPr>
              <w:t>否</w:t>
            </w:r>
          </w:p>
        </w:tc>
      </w:tr>
      <w:tr w14:paraId="4BD62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1CEB915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35B1F6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59081BB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0408F16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4469A81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3C256BB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427C6CBB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铁路特别是高铁，是新时代中国式现代化标志性成就之一。通讯作品《领跑！向着伟大复兴》，选择在新中国成立75周年和中国铁路营业里程突破16万公里这一历史性交汇节点，以专业视角拉开行业纵深，以新闻写作体现政治担当，是深度报道的新尝试和成就式报道的深推进。</w:t>
            </w:r>
          </w:p>
          <w:p w14:paraId="43409306"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记者策划采写此稿历时近2个月，查阅掌握了大量权威数据和资料，通过系统梳理新中国成立75年来特别是党的十八大以来中国铁路发展历程，确定了彰显中国速度、见证中国力度、感受中国温度、标注中国高度4个切入角度。在此基础上，记者敏锐捕捉新闻线索，深挖生动故事，运用大量数据生动诠释中国铁路从追赶到领跑的成功“密码”，以铁路发展非凡历程勾勒出奋进中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的壮阔图景。</w:t>
            </w:r>
          </w:p>
        </w:tc>
      </w:tr>
      <w:tr w14:paraId="41D83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34" w:type="dxa"/>
            <w:vAlign w:val="center"/>
          </w:tcPr>
          <w:p w14:paraId="2D3BD54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5FD595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307E5DD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9D5A4A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4ABACBED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报道在新中国成立75周年前夕推出，报纸版面大气明朗，新媒体端激越昂扬，在列车客流和社交媒体平台取得很好传播效果，荣获2024中国正能量十佳网络精品“网络正能量文字”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等奖项，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入选中国记协“我的代表作”，得到业界和受众一致好评。</w:t>
            </w:r>
          </w:p>
          <w:p w14:paraId="366D40A6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作品刊发后，中国铁路、人民铁道媒体矩阵同步推送，并被路内外平台转发，特别是中国政府网国庆当天全文转载，进一步释放了报道的传播力和影响力。作品透过铁路行业发展解码“何以中国”，映照出流动中国的澎湃动能，为唱响中国经济光明论贡献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媒体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力量。多位业界人士评价文章“立意高、角度新、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数据实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，磅礴有力”，是“重大历史时刻推出的精品力作”，为提振信心、激扬斗志、增强民族自豪感发挥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积极作用。</w:t>
            </w:r>
          </w:p>
        </w:tc>
      </w:tr>
      <w:tr w14:paraId="50E1F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1134" w:type="dxa"/>
            <w:vMerge w:val="restart"/>
            <w:vAlign w:val="center"/>
          </w:tcPr>
          <w:p w14:paraId="1210D1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2804F95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69491CB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6CEFC1F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44AB2C96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2D6EE045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00FDF08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272A0C43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https://peoplerail.com/newszb/html/2024-09/29/content_1_46608.htm</w:t>
            </w:r>
          </w:p>
        </w:tc>
      </w:tr>
      <w:tr w14:paraId="78D4A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22242D6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59DC31B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3151C3C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5F50CAC">
            <w:pPr>
              <w:rPr>
                <w:rFonts w:ascii="仿宋" w:hAnsi="仿宋" w:eastAsia="仿宋"/>
                <w:color w:val="000000"/>
                <w:sz w:val="20"/>
                <w:szCs w:val="13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instrText xml:space="preserve"> HYPERLINK "https://mp.weixin.qq.com/s/rtivvsyCaNAhoLDMAV3YQQ" </w:instrTex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separate"/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https://mp.weixin.qq.com/s/rtivvsyCaNAhoLDMAV3YQQ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end"/>
            </w:r>
          </w:p>
        </w:tc>
      </w:tr>
      <w:tr w14:paraId="193C4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4D1E9A5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0E49566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1648F816">
            <w:pPr>
              <w:rPr>
                <w:rFonts w:hint="eastAsia" w:ascii="仿宋" w:hAnsi="仿宋" w:eastAsia="仿宋"/>
                <w:color w:val="000000"/>
                <w:sz w:val="20"/>
                <w:szCs w:val="13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32E1DF1C">
            <w:pPr>
              <w:rPr>
                <w:rFonts w:hint="eastAsia" w:ascii="仿宋" w:hAnsi="仿宋" w:eastAsia="仿宋"/>
                <w:color w:val="000000"/>
                <w:sz w:val="20"/>
                <w:szCs w:val="13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instrText xml:space="preserve"> HYPERLINK "https://www.gov.cn/yaowen/liebiao/202410/content_6983730.htm" </w:instrTex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separate"/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https://www.gov.cn/yaowen/liebiao/202410/content_6983730.htm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end"/>
            </w:r>
          </w:p>
        </w:tc>
      </w:tr>
      <w:tr w14:paraId="20CD3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2B1E01E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2EFB54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20A3F082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70DC49BB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65" w:type="dxa"/>
            <w:gridSpan w:val="3"/>
            <w:vAlign w:val="center"/>
          </w:tcPr>
          <w:p w14:paraId="6CD675D9">
            <w:pPr>
              <w:rPr>
                <w:rFonts w:hint="eastAsia" w:ascii="仿宋" w:hAnsi="仿宋" w:eastAsia="仿宋"/>
                <w:color w:val="000000"/>
                <w:sz w:val="22"/>
                <w:szCs w:val="16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5F28BF6C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77BFB346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A992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8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2B480A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48AB10D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6A9FB4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114E083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E69286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1704B3D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1B4F236A"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高铁，中国的一张亮丽名片。近年来，对高铁的新闻报道很多，但像此文这样详实、权威梳理高铁发展历程和实践成就的报道还很少见。</w:t>
            </w:r>
          </w:p>
          <w:p w14:paraId="59723578"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该报道精准把握时度效，采写精良、行文考究，文字流畅严谨、鲜活生动，选用实例典型，数据详实，层层深入，感染力强，使“百年铁路风起云涌、中国铁路勇立潮头”有了具象化呈现，充分体现了创作者的政治素养、新闻敏感和业务能力，是不可多得的报道中国铁路发展成就的佳作。</w:t>
            </w:r>
          </w:p>
          <w:p w14:paraId="10709EB5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报道创新叙事手法，既蕴含丰富的信息量，又将新闻的鲜活性和历史的纵深感巧妙融合，兼具新闻价值、社会价值和历史价值，是行业媒体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对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贯彻落实习近平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新时代中国特色社会主义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思想取得成就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18"/>
              </w:rPr>
              <w:t>深入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宣传报道的一次重要探索和成功实践。</w:t>
            </w:r>
          </w:p>
          <w:p w14:paraId="76A67BFA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</w:p>
          <w:p w14:paraId="3109BF0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6E01415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24848FD0">
      <w:pPr>
        <w:spacing w:line="560" w:lineRule="exact"/>
        <w:outlineLvl w:val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7DBB7">
    <w:pPr>
      <w:pStyle w:val="7"/>
      <w:jc w:val="right"/>
      <w:rPr>
        <w:rFonts w:ascii="仿宋" w:hAnsi="仿宋" w:eastAsia="仿宋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1FDF8C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1FDF8C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B78F5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C974DC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C974DC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578ED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10BE6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2DA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02A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A53A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87F4C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24F0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27C2C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573C7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285F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643A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0A4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037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63E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8CE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243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4F45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2A9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4B0B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45B159D"/>
    <w:rsid w:val="06DD649D"/>
    <w:rsid w:val="08530DC9"/>
    <w:rsid w:val="08E20019"/>
    <w:rsid w:val="092F28C6"/>
    <w:rsid w:val="0A486323"/>
    <w:rsid w:val="0AA1970C"/>
    <w:rsid w:val="0BEA7692"/>
    <w:rsid w:val="0DAE2941"/>
    <w:rsid w:val="0E034A3B"/>
    <w:rsid w:val="0ECE05F4"/>
    <w:rsid w:val="0F7F0EA5"/>
    <w:rsid w:val="10B54AC3"/>
    <w:rsid w:val="12723F3D"/>
    <w:rsid w:val="15E2762C"/>
    <w:rsid w:val="189B2EBB"/>
    <w:rsid w:val="196565AA"/>
    <w:rsid w:val="1A163D48"/>
    <w:rsid w:val="1A7CA4C8"/>
    <w:rsid w:val="1C0628B7"/>
    <w:rsid w:val="1D7D5129"/>
    <w:rsid w:val="1EE367D7"/>
    <w:rsid w:val="1EF14546"/>
    <w:rsid w:val="1FBE4D8F"/>
    <w:rsid w:val="228D1C64"/>
    <w:rsid w:val="23FE3883"/>
    <w:rsid w:val="240344BC"/>
    <w:rsid w:val="262E79C9"/>
    <w:rsid w:val="27BBD431"/>
    <w:rsid w:val="29FB622F"/>
    <w:rsid w:val="2B5FF6DB"/>
    <w:rsid w:val="2BA6462E"/>
    <w:rsid w:val="2BE6AC9B"/>
    <w:rsid w:val="2D67693D"/>
    <w:rsid w:val="2E122953"/>
    <w:rsid w:val="2FB772A5"/>
    <w:rsid w:val="302428C3"/>
    <w:rsid w:val="32E7C95C"/>
    <w:rsid w:val="33184235"/>
    <w:rsid w:val="334C75EF"/>
    <w:rsid w:val="33EC7B9C"/>
    <w:rsid w:val="375241BA"/>
    <w:rsid w:val="37E613F9"/>
    <w:rsid w:val="37F44365"/>
    <w:rsid w:val="37FD3078"/>
    <w:rsid w:val="37FF3550"/>
    <w:rsid w:val="37FFC416"/>
    <w:rsid w:val="3991049D"/>
    <w:rsid w:val="3AFCCEEC"/>
    <w:rsid w:val="3B6BE7B6"/>
    <w:rsid w:val="3BEA624A"/>
    <w:rsid w:val="3BFF18CE"/>
    <w:rsid w:val="3CA01523"/>
    <w:rsid w:val="3DEE90AB"/>
    <w:rsid w:val="3E6B5B61"/>
    <w:rsid w:val="3F9F0BD7"/>
    <w:rsid w:val="3FDD0733"/>
    <w:rsid w:val="3FFF6105"/>
    <w:rsid w:val="418C7C5C"/>
    <w:rsid w:val="41984EBF"/>
    <w:rsid w:val="42426BD9"/>
    <w:rsid w:val="44240C8C"/>
    <w:rsid w:val="44801C3A"/>
    <w:rsid w:val="45C920D3"/>
    <w:rsid w:val="45E2495B"/>
    <w:rsid w:val="466A1313"/>
    <w:rsid w:val="4679555E"/>
    <w:rsid w:val="467F7B33"/>
    <w:rsid w:val="46A84C2E"/>
    <w:rsid w:val="46F06995"/>
    <w:rsid w:val="47BB47C3"/>
    <w:rsid w:val="480037BE"/>
    <w:rsid w:val="489B1DE1"/>
    <w:rsid w:val="49CF00E4"/>
    <w:rsid w:val="4B94077D"/>
    <w:rsid w:val="4B944949"/>
    <w:rsid w:val="4BBC5C4E"/>
    <w:rsid w:val="4BE17463"/>
    <w:rsid w:val="4C1A4D47"/>
    <w:rsid w:val="4E1161B7"/>
    <w:rsid w:val="4E1E04FA"/>
    <w:rsid w:val="4F786D37"/>
    <w:rsid w:val="4F7A1CAF"/>
    <w:rsid w:val="4FD20CC7"/>
    <w:rsid w:val="50F25C6E"/>
    <w:rsid w:val="514364CA"/>
    <w:rsid w:val="51C36F2F"/>
    <w:rsid w:val="51FC00CA"/>
    <w:rsid w:val="520D53A9"/>
    <w:rsid w:val="52F45CCD"/>
    <w:rsid w:val="53DD7F26"/>
    <w:rsid w:val="56BA0FDC"/>
    <w:rsid w:val="575FFACA"/>
    <w:rsid w:val="57E3A12B"/>
    <w:rsid w:val="58562F86"/>
    <w:rsid w:val="58B31855"/>
    <w:rsid w:val="59FB04B3"/>
    <w:rsid w:val="5D5E7442"/>
    <w:rsid w:val="5D753EAF"/>
    <w:rsid w:val="5DFC282D"/>
    <w:rsid w:val="5E0B3554"/>
    <w:rsid w:val="5EF2E06A"/>
    <w:rsid w:val="5F622211"/>
    <w:rsid w:val="5F7BA06F"/>
    <w:rsid w:val="5FFB8B9E"/>
    <w:rsid w:val="5FFEE2BA"/>
    <w:rsid w:val="62EF025F"/>
    <w:rsid w:val="63B32720"/>
    <w:rsid w:val="64D92F75"/>
    <w:rsid w:val="67EA5618"/>
    <w:rsid w:val="699C32E1"/>
    <w:rsid w:val="6BADA4A9"/>
    <w:rsid w:val="6BB32F56"/>
    <w:rsid w:val="6BFB5EC7"/>
    <w:rsid w:val="6BFE9F4B"/>
    <w:rsid w:val="6BFF44CD"/>
    <w:rsid w:val="6C270A6A"/>
    <w:rsid w:val="6CFE6DCE"/>
    <w:rsid w:val="6D1F0417"/>
    <w:rsid w:val="6F6A0B6A"/>
    <w:rsid w:val="6F6D7F02"/>
    <w:rsid w:val="6F9817D4"/>
    <w:rsid w:val="6FBF90D1"/>
    <w:rsid w:val="6FDF00B9"/>
    <w:rsid w:val="6FEEA70C"/>
    <w:rsid w:val="6FF722AB"/>
    <w:rsid w:val="6FFD2893"/>
    <w:rsid w:val="700C41FF"/>
    <w:rsid w:val="71555F59"/>
    <w:rsid w:val="71BF9D52"/>
    <w:rsid w:val="71CE2C91"/>
    <w:rsid w:val="72914E8F"/>
    <w:rsid w:val="73221FD0"/>
    <w:rsid w:val="73CBDC39"/>
    <w:rsid w:val="743106D8"/>
    <w:rsid w:val="74FFEDA3"/>
    <w:rsid w:val="75818285"/>
    <w:rsid w:val="76236746"/>
    <w:rsid w:val="7687338F"/>
    <w:rsid w:val="7715973E"/>
    <w:rsid w:val="7770062C"/>
    <w:rsid w:val="77ED3CA0"/>
    <w:rsid w:val="77ED700C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456FA2"/>
    <w:rsid w:val="7DD708D6"/>
    <w:rsid w:val="7DFDEA90"/>
    <w:rsid w:val="7E2E3C47"/>
    <w:rsid w:val="7E7F9694"/>
    <w:rsid w:val="7EBD4090"/>
    <w:rsid w:val="7ED31B78"/>
    <w:rsid w:val="7EDBAFF3"/>
    <w:rsid w:val="7EDC1B88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1122</Words>
  <Characters>1310</Characters>
  <Lines>11</Lines>
  <Paragraphs>3</Paragraphs>
  <TotalTime>1</TotalTime>
  <ScaleCrop>false</ScaleCrop>
  <LinksUpToDate>false</LinksUpToDate>
  <CharactersWithSpaces>1382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2025-03-11T03:20:00Z</cp:lastPrinted>
  <dcterms:modified xsi:type="dcterms:W3CDTF">2025-05-12T09:14:07Z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A67FD3362EF5436BB53F399D52AD9D06_13</vt:lpwstr>
  </property>
</Properties>
</file>